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0A1" w:rsidRDefault="003810A1">
      <w:pPr>
        <w:pStyle w:val="Default"/>
        <w:spacing w:line="288" w:lineRule="auto"/>
        <w:jc w:val="center"/>
        <w:rPr>
          <w:rFonts w:ascii="Merriweather Bold" w:eastAsia="Merriweather Bold" w:hAnsi="Merriweather Bold" w:cs="Merriweather Bold"/>
          <w:sz w:val="28"/>
          <w:szCs w:val="28"/>
        </w:rPr>
      </w:pPr>
    </w:p>
    <w:p w:rsidR="003810A1" w:rsidRDefault="005C1076">
      <w:pPr>
        <w:pStyle w:val="Default"/>
        <w:spacing w:line="288" w:lineRule="auto"/>
        <w:jc w:val="center"/>
        <w:rPr>
          <w:rFonts w:ascii="Merriweather Bold" w:eastAsia="Merriweather Bold" w:hAnsi="Merriweather Bold" w:cs="Merriweather Bold"/>
          <w:b/>
          <w:bCs/>
          <w:sz w:val="28"/>
          <w:szCs w:val="28"/>
        </w:rPr>
      </w:pPr>
      <w:r>
        <w:rPr>
          <w:rFonts w:ascii="Merriweather Bold" w:eastAsia="Merriweather Bold" w:hAnsi="Merriweather Bold" w:cs="Merriweather Bold"/>
          <w:b/>
          <w:bCs/>
          <w:sz w:val="28"/>
          <w:szCs w:val="28"/>
        </w:rPr>
        <w:t>Article Title, as descriptive as possible, ideally fitting in two lines (approximately 150 characters) or less</w:t>
      </w:r>
    </w:p>
    <w:p w:rsidR="003810A1" w:rsidRDefault="003810A1">
      <w:pPr>
        <w:pStyle w:val="Default"/>
        <w:jc w:val="center"/>
        <w:rPr>
          <w:sz w:val="28"/>
          <w:szCs w:val="28"/>
        </w:rPr>
      </w:pPr>
    </w:p>
    <w:p w:rsidR="003810A1" w:rsidRDefault="005C1076">
      <w:pPr>
        <w:pStyle w:val="Default"/>
        <w:jc w:val="center"/>
        <w:rPr>
          <w:sz w:val="20"/>
          <w:szCs w:val="20"/>
          <w:vertAlign w:val="superscript"/>
        </w:rPr>
      </w:pPr>
      <w:r w:rsidRPr="00800348">
        <w:rPr>
          <w:sz w:val="20"/>
          <w:szCs w:val="20"/>
        </w:rPr>
        <w:t>Dee E. Fa</w:t>
      </w:r>
      <w:r>
        <w:rPr>
          <w:sz w:val="20"/>
          <w:szCs w:val="20"/>
        </w:rPr>
        <w:t>a</w:t>
      </w:r>
      <w:r>
        <w:rPr>
          <w:sz w:val="20"/>
          <w:szCs w:val="20"/>
          <w:vertAlign w:val="superscript"/>
        </w:rPr>
        <w:t>1</w:t>
      </w:r>
      <w:r w:rsidRPr="00800348">
        <w:rPr>
          <w:sz w:val="20"/>
          <w:szCs w:val="20"/>
        </w:rPr>
        <w:t>, Aah B. Cee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and Gee K. See</w:t>
      </w:r>
      <w:r>
        <w:rPr>
          <w:sz w:val="20"/>
          <w:szCs w:val="20"/>
          <w:vertAlign w:val="superscript"/>
        </w:rPr>
        <w:t>3*</w:t>
      </w:r>
    </w:p>
    <w:p w:rsidR="003810A1" w:rsidRDefault="003810A1">
      <w:pPr>
        <w:pStyle w:val="Default"/>
        <w:jc w:val="center"/>
        <w:rPr>
          <w:sz w:val="20"/>
          <w:szCs w:val="20"/>
          <w:vertAlign w:val="superscript"/>
        </w:rPr>
      </w:pPr>
    </w:p>
    <w:p w:rsidR="003810A1" w:rsidRPr="00800348" w:rsidRDefault="005C1076">
      <w:pPr>
        <w:pStyle w:val="Default"/>
        <w:spacing w:line="288" w:lineRule="auto"/>
        <w:jc w:val="center"/>
        <w:rPr>
          <w:sz w:val="20"/>
          <w:szCs w:val="20"/>
          <w:lang w:val="fr-FR"/>
        </w:rPr>
      </w:pPr>
      <w:r w:rsidRPr="00800348">
        <w:rPr>
          <w:rFonts w:ascii="Merriweather Bold" w:eastAsia="Merriweather Bold" w:hAnsi="Merriweather Bold" w:cs="Merriweather Bold"/>
          <w:b/>
          <w:bCs/>
          <w:sz w:val="20"/>
          <w:szCs w:val="20"/>
          <w:lang w:val="fr-FR"/>
        </w:rPr>
        <w:t>1</w:t>
      </w:r>
      <w:r w:rsidRPr="00800348">
        <w:rPr>
          <w:sz w:val="20"/>
          <w:szCs w:val="20"/>
          <w:lang w:val="fr-FR"/>
        </w:rPr>
        <w:t xml:space="preserve"> Affiliation1</w:t>
      </w:r>
    </w:p>
    <w:p w:rsidR="003810A1" w:rsidRPr="00800348" w:rsidRDefault="005C1076">
      <w:pPr>
        <w:pStyle w:val="Default"/>
        <w:spacing w:line="288" w:lineRule="auto"/>
        <w:jc w:val="center"/>
        <w:rPr>
          <w:sz w:val="20"/>
          <w:szCs w:val="20"/>
          <w:lang w:val="fr-FR"/>
        </w:rPr>
      </w:pPr>
      <w:r w:rsidRPr="00800348">
        <w:rPr>
          <w:rFonts w:ascii="Merriweather Bold" w:eastAsia="Merriweather Bold" w:hAnsi="Merriweather Bold" w:cs="Merriweather Bold"/>
          <w:b/>
          <w:bCs/>
          <w:sz w:val="20"/>
          <w:szCs w:val="20"/>
          <w:lang w:val="fr-FR"/>
        </w:rPr>
        <w:t>2</w:t>
      </w:r>
      <w:r w:rsidRPr="00800348">
        <w:rPr>
          <w:sz w:val="20"/>
          <w:szCs w:val="20"/>
          <w:lang w:val="fr-FR"/>
        </w:rPr>
        <w:t xml:space="preserve"> Affiliation2</w:t>
      </w:r>
    </w:p>
    <w:p w:rsidR="003810A1" w:rsidRPr="00800348" w:rsidRDefault="005C1076">
      <w:pPr>
        <w:pStyle w:val="Default"/>
        <w:spacing w:line="288" w:lineRule="auto"/>
        <w:jc w:val="center"/>
        <w:rPr>
          <w:sz w:val="20"/>
          <w:szCs w:val="20"/>
          <w:lang w:val="fr-FR"/>
        </w:rPr>
      </w:pPr>
      <w:r w:rsidRPr="00800348">
        <w:rPr>
          <w:rFonts w:ascii="Merriweather Bold" w:eastAsia="Merriweather Bold" w:hAnsi="Merriweather Bold" w:cs="Merriweather Bold"/>
          <w:b/>
          <w:bCs/>
          <w:sz w:val="20"/>
          <w:szCs w:val="20"/>
          <w:lang w:val="fr-FR"/>
        </w:rPr>
        <w:t>3</w:t>
      </w:r>
      <w:r w:rsidRPr="00800348">
        <w:rPr>
          <w:sz w:val="20"/>
          <w:szCs w:val="20"/>
          <w:lang w:val="fr-FR"/>
        </w:rPr>
        <w:t xml:space="preserve"> Affiliation3</w:t>
      </w:r>
    </w:p>
    <w:p w:rsidR="003810A1" w:rsidRPr="00800348" w:rsidRDefault="005C1076">
      <w:pPr>
        <w:pStyle w:val="Default"/>
        <w:spacing w:line="288" w:lineRule="auto"/>
        <w:jc w:val="center"/>
        <w:rPr>
          <w:lang w:val="fr-FR"/>
        </w:rPr>
      </w:pPr>
      <w:r w:rsidRPr="00800348">
        <w:rPr>
          <w:sz w:val="20"/>
          <w:szCs w:val="20"/>
          <w:lang w:val="fr-FR"/>
        </w:rPr>
        <w:t xml:space="preserve">* </w:t>
      </w:r>
      <w:hyperlink r:id="rId7" w:history="1">
        <w:r w:rsidRPr="00800348">
          <w:rPr>
            <w:rStyle w:val="Hyperlink0"/>
            <w:lang w:val="fr-FR"/>
          </w:rPr>
          <w:t>CorrespondingAuthor@email.address</w:t>
        </w:r>
      </w:hyperlink>
    </w:p>
    <w:p w:rsidR="003810A1" w:rsidRPr="00800348" w:rsidRDefault="003810A1">
      <w:pPr>
        <w:pStyle w:val="Default"/>
        <w:jc w:val="center"/>
        <w:rPr>
          <w:rStyle w:val="None"/>
          <w:sz w:val="20"/>
          <w:szCs w:val="20"/>
          <w:lang w:val="fr-FR"/>
        </w:rPr>
      </w:pPr>
    </w:p>
    <w:p w:rsidR="003810A1" w:rsidRDefault="005C1076">
      <w:pPr>
        <w:pStyle w:val="Default"/>
        <w:jc w:val="center"/>
      </w:pPr>
      <w:r>
        <w:rPr>
          <w:rStyle w:val="None"/>
          <w:sz w:val="20"/>
          <w:szCs w:val="20"/>
        </w:rPr>
        <w:fldChar w:fldCharType="begin"/>
      </w:r>
      <w:r>
        <w:rPr>
          <w:rStyle w:val="None"/>
          <w:sz w:val="20"/>
          <w:szCs w:val="20"/>
        </w:rPr>
        <w:instrText xml:space="preserve"> DATE \@ "dddd, MMMM d, y" </w:instrText>
      </w:r>
      <w:r>
        <w:rPr>
          <w:rStyle w:val="None"/>
          <w:sz w:val="20"/>
          <w:szCs w:val="20"/>
        </w:rPr>
        <w:fldChar w:fldCharType="separate"/>
      </w:r>
      <w:r w:rsidR="00800348">
        <w:rPr>
          <w:rStyle w:val="None"/>
          <w:noProof/>
          <w:sz w:val="20"/>
          <w:szCs w:val="20"/>
        </w:rPr>
        <w:t>Monday, February 15, 21</w:t>
      </w:r>
      <w:r>
        <w:rPr>
          <w:rStyle w:val="None"/>
          <w:sz w:val="20"/>
          <w:szCs w:val="20"/>
        </w:rPr>
        <w:fldChar w:fldCharType="end"/>
      </w:r>
    </w:p>
    <w:p w:rsidR="003810A1" w:rsidRDefault="003810A1">
      <w:pPr>
        <w:pStyle w:val="Default"/>
        <w:jc w:val="center"/>
      </w:pPr>
    </w:p>
    <w:p w:rsidR="003810A1" w:rsidRDefault="003810A1">
      <w:pPr>
        <w:pStyle w:val="Default"/>
        <w:jc w:val="center"/>
      </w:pPr>
    </w:p>
    <w:p w:rsidR="003810A1" w:rsidRDefault="005C1076">
      <w:pPr>
        <w:pStyle w:val="BodyA"/>
        <w:rPr>
          <w:rStyle w:val="None"/>
          <w:rFonts w:ascii="Merriweather Bold" w:eastAsia="Merriweather Bold" w:hAnsi="Merriweather Bold" w:cs="Merriweather Bold"/>
          <w:b/>
          <w:bCs/>
          <w:sz w:val="28"/>
          <w:szCs w:val="28"/>
        </w:rPr>
      </w:pPr>
      <w:r>
        <w:rPr>
          <w:rStyle w:val="None"/>
          <w:rFonts w:ascii="Merriweather Bold" w:eastAsia="Merriweather Bold" w:hAnsi="Merriweather Bold" w:cs="Merriweather Bold"/>
          <w:b/>
          <w:bCs/>
          <w:sz w:val="28"/>
          <w:szCs w:val="28"/>
        </w:rPr>
        <w:t>Abstract</w:t>
      </w:r>
    </w:p>
    <w:p w:rsidR="003810A1" w:rsidRDefault="003810A1">
      <w:pPr>
        <w:pStyle w:val="Default"/>
        <w:jc w:val="left"/>
        <w:rPr>
          <w:rStyle w:val="None"/>
          <w:rFonts w:ascii="Merriweather Bold" w:eastAsia="Merriweather Bold" w:hAnsi="Merriweather Bold" w:cs="Merriweather Bold"/>
          <w:sz w:val="28"/>
          <w:szCs w:val="28"/>
        </w:rPr>
      </w:pPr>
    </w:p>
    <w:p w:rsidR="003810A1" w:rsidRDefault="005C1076">
      <w:pPr>
        <w:pStyle w:val="Default"/>
      </w:pPr>
      <w:r>
        <w:rPr>
          <w:rStyle w:val="None"/>
          <w:rFonts w:ascii="Merriweather Bold" w:eastAsia="Merriweather Bold" w:hAnsi="Merriweather Bold" w:cs="Merriweather Bold"/>
          <w:b/>
          <w:bCs/>
          <w:sz w:val="20"/>
          <w:szCs w:val="20"/>
        </w:rPr>
        <w:t>The abstract is in boldface, and should fit in 200 words. It should be written in a clear and accessible style, emphasizing the context, the problem(s) studied, the methods used, the results obtained, the conclusions reached, and the outlook.</w:t>
      </w:r>
      <w:r>
        <w:rPr>
          <w:rStyle w:val="None"/>
          <w:rFonts w:ascii="Merriweather Bold" w:eastAsia="Merriweather Bold" w:hAnsi="Merriweather Bold" w:cs="Merriweather Bold"/>
          <w:b/>
          <w:bCs/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1101244</wp:posOffset>
                </wp:positionH>
                <wp:positionV relativeFrom="line">
                  <wp:posOffset>291384</wp:posOffset>
                </wp:positionV>
                <wp:extent cx="5400676" cy="720"/>
                <wp:effectExtent l="0" t="0" r="0" b="0"/>
                <wp:wrapTopAndBottom distT="152400" distB="152400"/>
                <wp:docPr id="107374183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6" cy="720"/>
                        </a:xfrm>
                        <a:prstGeom prst="line">
                          <a:avLst/>
                        </a:prstGeom>
                        <a:noFill/>
                        <a:ln w="2556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86.7pt;margin-top:22.9pt;width:425.3pt;height:0.1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800.0%" joinstyle="miter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 w:rsidR="003810A1" w:rsidRDefault="005C1076">
      <w:pPr>
        <w:pStyle w:val="Heading"/>
        <w:numPr>
          <w:ilvl w:val="0"/>
          <w:numId w:val="2"/>
        </w:numPr>
      </w:pPr>
      <w:r>
        <w:rPr>
          <w:rStyle w:val="None"/>
        </w:rPr>
        <w:t>Introduction</w:t>
      </w:r>
    </w:p>
    <w:p w:rsidR="003810A1" w:rsidRDefault="005C1076">
      <w:pPr>
        <w:pStyle w:val="BodyA"/>
        <w:rPr>
          <w:rFonts w:hint="eastAsia"/>
        </w:rPr>
      </w:pPr>
      <w:r>
        <w:rPr>
          <w:rStyle w:val="None"/>
        </w:rPr>
        <w:t>The stage is yours. Write your article here. The bulk of the paper should be clearly divided into sections with short descriptive titles, including an introduction and a conclusion.</w:t>
      </w:r>
    </w:p>
    <w:p w:rsidR="003810A1" w:rsidRDefault="005C1076">
      <w:pPr>
        <w:pStyle w:val="Heading"/>
        <w:numPr>
          <w:ilvl w:val="0"/>
          <w:numId w:val="2"/>
        </w:numPr>
        <w:rPr>
          <w:lang w:val="fr-FR"/>
        </w:rPr>
      </w:pPr>
      <w:r>
        <w:rPr>
          <w:rStyle w:val="None"/>
          <w:lang w:val="fr-FR"/>
        </w:rPr>
        <w:t>A Section</w:t>
      </w:r>
    </w:p>
    <w:p w:rsidR="003810A1" w:rsidRDefault="005C1076">
      <w:pPr>
        <w:pStyle w:val="BodyA"/>
        <w:rPr>
          <w:rFonts w:hint="eastAsia"/>
        </w:rPr>
      </w:pPr>
      <w:r>
        <w:rPr>
          <w:rStyle w:val="None"/>
        </w:rPr>
        <w:t>Use sections to structure your article’</w:t>
      </w:r>
      <w:r>
        <w:rPr>
          <w:rStyle w:val="None"/>
          <w:lang w:val="it-IT"/>
        </w:rPr>
        <w:t>s presentation.</w:t>
      </w:r>
    </w:p>
    <w:p w:rsidR="003810A1" w:rsidRDefault="005C1076">
      <w:pPr>
        <w:pStyle w:val="BodyA"/>
        <w:rPr>
          <w:rFonts w:hint="eastAsia"/>
        </w:rPr>
      </w:pPr>
      <w:r>
        <w:rPr>
          <w:rStyle w:val="None"/>
        </w:rPr>
        <w:t>Equations should be centered; multi-line equations should be aligned.</w:t>
      </w:r>
    </w:p>
    <w:p w:rsidR="003810A1" w:rsidRDefault="005C1076">
      <w:pPr>
        <w:pStyle w:val="BodyA"/>
        <w:keepNext/>
        <w:jc w:val="center"/>
        <w:rPr>
          <w:rStyle w:val="None"/>
          <w:rFonts w:hint="eastAsia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3"/>
              <w:szCs w:val="23"/>
            </w:rPr>
            <m:t>A=</m:t>
          </m:r>
          <m:f>
            <m:fPr>
              <m:ctrlPr>
                <w:rPr>
                  <w:rFonts w:ascii="Cambria Math" w:hAnsi="Cambria Math"/>
                  <w:i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/>
                  <w:sz w:val="23"/>
                  <w:szCs w:val="23"/>
                </w:rPr>
                <m:t>abc</m:t>
              </m:r>
            </m:num>
            <m:den>
              <m:r>
                <w:rPr>
                  <w:rFonts w:ascii="Cambria Math" w:hAnsi="Cambria Math"/>
                  <w:sz w:val="23"/>
                  <w:szCs w:val="23"/>
                </w:rPr>
                <m:t>(x-1)(x+1)</m:t>
              </m:r>
            </m:den>
          </m:f>
        </m:oMath>
      </m:oMathPara>
    </w:p>
    <w:p w:rsidR="003810A1" w:rsidRDefault="005C1076">
      <w:pPr>
        <w:pStyle w:val="Caption"/>
        <w:jc w:val="right"/>
      </w:pPr>
      <w:r>
        <w:rPr>
          <w:rStyle w:val="None"/>
        </w:rPr>
        <w:t>(1)</w:t>
      </w:r>
    </w:p>
    <w:p w:rsidR="003810A1" w:rsidRDefault="005C1076">
      <w:pPr>
        <w:pStyle w:val="BodyA"/>
        <w:rPr>
          <w:rFonts w:hint="eastAsia"/>
        </w:rPr>
      </w:pPr>
      <w:r>
        <w:rPr>
          <w:rStyle w:val="None"/>
        </w:rPr>
        <w:t xml:space="preserve">In the list of references, cited papers [?] should include authors, title, journal reference (journal name, volume number (in bold), start page) and most importantly a DOI link. For a preprint [?], please include authors, title (please ensure proper capitalization) and </w:t>
      </w:r>
      <w:proofErr w:type="spellStart"/>
      <w:r>
        <w:rPr>
          <w:rStyle w:val="None"/>
        </w:rPr>
        <w:t>arXiv</w:t>
      </w:r>
      <w:proofErr w:type="spellEnd"/>
      <w:r>
        <w:rPr>
          <w:rStyle w:val="None"/>
        </w:rPr>
        <w:t xml:space="preserve"> or </w:t>
      </w:r>
      <w:proofErr w:type="spellStart"/>
      <w:r>
        <w:rPr>
          <w:rStyle w:val="None"/>
        </w:rPr>
        <w:t>ChemXiv</w:t>
      </w:r>
      <w:proofErr w:type="spellEnd"/>
      <w:r>
        <w:rPr>
          <w:rStyle w:val="None"/>
        </w:rPr>
        <w:t xml:space="preserve"> link.</w:t>
      </w:r>
    </w:p>
    <w:p w:rsidR="003810A1" w:rsidRDefault="005C1076">
      <w:pPr>
        <w:pStyle w:val="BodyA"/>
        <w:rPr>
          <w:rFonts w:hint="eastAsia"/>
        </w:rPr>
      </w:pPr>
      <w:r>
        <w:rPr>
          <w:rStyle w:val="None"/>
        </w:rPr>
        <w:t>All equations, figures and references should be hyperlinked to ensure ease of navigation. Sections should be produced using the Heading style.</w:t>
      </w:r>
    </w:p>
    <w:p w:rsidR="003810A1" w:rsidRDefault="005C1076">
      <w:pPr>
        <w:pStyle w:val="Heading"/>
        <w:numPr>
          <w:ilvl w:val="0"/>
          <w:numId w:val="2"/>
        </w:numPr>
      </w:pPr>
      <w:r>
        <w:rPr>
          <w:rStyle w:val="None"/>
        </w:rPr>
        <w:lastRenderedPageBreak/>
        <w:t>Another Section</w:t>
      </w:r>
    </w:p>
    <w:p w:rsidR="003810A1" w:rsidRDefault="005C1076">
      <w:pPr>
        <w:pStyle w:val="BodyA"/>
        <w:rPr>
          <w:rFonts w:hint="eastAsia"/>
        </w:rPr>
      </w:pPr>
      <w:r>
        <w:rPr>
          <w:rStyle w:val="None"/>
        </w:rPr>
        <w:t xml:space="preserve">There is no strict length limitation, but the authors are strongly encouraged to keep </w:t>
      </w:r>
      <w:r w:rsidRPr="00800348">
        <w:rPr>
          <w:rStyle w:val="None"/>
        </w:rPr>
        <w:t>contents</w:t>
      </w:r>
      <w:r>
        <w:rPr>
          <w:rStyle w:val="None"/>
        </w:rPr>
        <w:t xml:space="preserve"> to the strict minimum necessary for peers to reproduce the research described in the paper.</w:t>
      </w:r>
    </w:p>
    <w:p w:rsidR="003810A1" w:rsidRDefault="005C1076">
      <w:pPr>
        <w:pStyle w:val="Heading2"/>
      </w:pPr>
      <w:r>
        <w:rPr>
          <w:rStyle w:val="None"/>
        </w:rPr>
        <w:t>3.1. A first subsection</w:t>
      </w:r>
    </w:p>
    <w:p w:rsidR="003810A1" w:rsidRDefault="005C1076">
      <w:pPr>
        <w:pStyle w:val="BodyA"/>
        <w:rPr>
          <w:rFonts w:hint="eastAsia"/>
        </w:rPr>
      </w:pPr>
      <w:r>
        <w:rPr>
          <w:rStyle w:val="None"/>
        </w:rPr>
        <w:t>You are free to use dividers as you see fit.</w:t>
      </w:r>
    </w:p>
    <w:p w:rsidR="003810A1" w:rsidRDefault="005C1076">
      <w:pPr>
        <w:pStyle w:val="Heading2"/>
      </w:pPr>
      <w:r>
        <w:rPr>
          <w:rStyle w:val="None"/>
        </w:rPr>
        <w:t>3.2. A note about figures</w:t>
      </w:r>
    </w:p>
    <w:p w:rsidR="003810A1" w:rsidRDefault="005C1076">
      <w:pPr>
        <w:pStyle w:val="BodyA"/>
        <w:rPr>
          <w:rFonts w:hint="eastAsia"/>
        </w:rPr>
      </w:pPr>
      <w:r>
        <w:rPr>
          <w:rStyle w:val="None"/>
        </w:rPr>
        <w:t xml:space="preserve">Figures should only occupy the strictly necessary space, in any case individually fitting on a single page. Each figure item should be appropriately labeled and accompanied by a descriptive </w:t>
      </w:r>
      <w:r>
        <w:rPr>
          <w:rStyle w:val="None"/>
          <w:lang w:val="it-IT"/>
        </w:rPr>
        <w:t xml:space="preserve">caption. </w:t>
      </w:r>
      <w:r>
        <w:rPr>
          <w:rStyle w:val="None"/>
          <w:rFonts w:ascii="Merriweather Bold" w:hAnsi="Merriweather Bold"/>
        </w:rPr>
        <w:t>SciPost does not accept creative or promotional figures or artist’</w:t>
      </w:r>
      <w:r w:rsidRPr="00800348">
        <w:rPr>
          <w:rStyle w:val="None"/>
          <w:rFonts w:ascii="Merriweather Bold" w:hAnsi="Merriweather Bold"/>
        </w:rPr>
        <w:t>s impressions;</w:t>
      </w:r>
      <w:r>
        <w:rPr>
          <w:rStyle w:val="None"/>
        </w:rPr>
        <w:t xml:space="preserve"> on the other hand, technical drawings and scientifically accurate representations are encouraged.</w:t>
      </w:r>
    </w:p>
    <w:p w:rsidR="003810A1" w:rsidRDefault="005C1076">
      <w:pPr>
        <w:pStyle w:val="Heading"/>
        <w:numPr>
          <w:ilvl w:val="0"/>
          <w:numId w:val="2"/>
        </w:numPr>
      </w:pPr>
      <w:r>
        <w:rPr>
          <w:rStyle w:val="None"/>
        </w:rPr>
        <w:t>Conclusion</w:t>
      </w:r>
    </w:p>
    <w:p w:rsidR="003810A1" w:rsidRDefault="005C1076">
      <w:pPr>
        <w:pStyle w:val="BodyA"/>
        <w:rPr>
          <w:rStyle w:val="None"/>
          <w:rFonts w:hint="eastAsia"/>
        </w:rPr>
      </w:pPr>
      <w:r>
        <w:rPr>
          <w:rStyle w:val="None"/>
        </w:rPr>
        <w:t>You must include a conclusion.</w:t>
      </w:r>
    </w:p>
    <w:p w:rsidR="003810A1" w:rsidRDefault="005C1076">
      <w:pPr>
        <w:pStyle w:val="Heading"/>
        <w:numPr>
          <w:ilvl w:val="0"/>
          <w:numId w:val="2"/>
        </w:numPr>
      </w:pPr>
      <w:r>
        <w:rPr>
          <w:rStyle w:val="None"/>
        </w:rPr>
        <w:t>Endnotes</w:t>
      </w:r>
    </w:p>
    <w:p w:rsidR="003810A1" w:rsidRDefault="005C1076">
      <w:pPr>
        <w:pStyle w:val="BodyA"/>
        <w:rPr>
          <w:rFonts w:hint="eastAsia"/>
        </w:rPr>
      </w:pPr>
      <w:r>
        <w:rPr>
          <w:rStyle w:val="None"/>
        </w:rPr>
        <w:t>You must include endnotes.</w:t>
      </w:r>
    </w:p>
    <w:p w:rsidR="003810A1" w:rsidRDefault="005C1076">
      <w:pPr>
        <w:pStyle w:val="Heading"/>
      </w:pPr>
      <w:r>
        <w:rPr>
          <w:rStyle w:val="None"/>
        </w:rPr>
        <w:t>Acknowledgements</w:t>
      </w:r>
    </w:p>
    <w:p w:rsidR="003810A1" w:rsidRDefault="005C1076">
      <w:pPr>
        <w:pStyle w:val="BodyA"/>
        <w:rPr>
          <w:rFonts w:hint="eastAsia"/>
        </w:rPr>
      </w:pPr>
      <w:r>
        <w:rPr>
          <w:rStyle w:val="None"/>
        </w:rPr>
        <w:t>Acknowledgements should follow immediately after the conclusion.</w:t>
      </w:r>
    </w:p>
    <w:p w:rsidR="003810A1" w:rsidRDefault="005C1076">
      <w:pPr>
        <w:pStyle w:val="BodyA"/>
        <w:rPr>
          <w:rFonts w:hint="eastAsia"/>
        </w:rPr>
      </w:pPr>
      <w:r>
        <w:rPr>
          <w:rStyle w:val="None"/>
          <w:rFonts w:ascii="Merriweather Bold" w:eastAsia="Merriweather Bold" w:hAnsi="Merriweather Bold" w:cs="Merriweather Bold"/>
          <w:b/>
          <w:bCs/>
        </w:rPr>
        <w:t>Author contributions.</w:t>
      </w:r>
      <w:r>
        <w:rPr>
          <w:rStyle w:val="None"/>
        </w:rPr>
        <w:t xml:space="preserve"> This is optional. If desired, contributions should be succinctly described in a single short paragraph, using author initials.</w:t>
      </w:r>
    </w:p>
    <w:p w:rsidR="003810A1" w:rsidRDefault="005C1076">
      <w:pPr>
        <w:pStyle w:val="BodyA"/>
        <w:rPr>
          <w:rFonts w:hint="eastAsia"/>
        </w:rPr>
      </w:pPr>
      <w:r>
        <w:rPr>
          <w:rStyle w:val="None"/>
          <w:rFonts w:ascii="Merriweather Bold" w:eastAsia="Merriweather Bold" w:hAnsi="Merriweather Bold" w:cs="Merriweather Bold"/>
          <w:b/>
          <w:bCs/>
        </w:rPr>
        <w:t>Funding information.</w:t>
      </w:r>
      <w:r>
        <w:rPr>
          <w:rStyle w:val="None"/>
          <w:rFonts w:ascii="Merriweather Bold" w:hAnsi="Merriweather Bold"/>
        </w:rPr>
        <w:t xml:space="preserve"> </w:t>
      </w:r>
      <w:r>
        <w:rPr>
          <w:rStyle w:val="None"/>
        </w:rPr>
        <w:t xml:space="preserve">Authors are required to provide funding information, including relevant agencies and grant numbers with linked author’s initials. Correctly-provided data will be linked to funders listed in the </w:t>
      </w:r>
      <w:hyperlink r:id="rId8" w:history="1">
        <w:proofErr w:type="spellStart"/>
        <w:r>
          <w:rPr>
            <w:rStyle w:val="Hyperlink1"/>
          </w:rPr>
          <w:t>Fundref</w:t>
        </w:r>
        <w:proofErr w:type="spellEnd"/>
        <w:r>
          <w:rPr>
            <w:rStyle w:val="Hyperlink1"/>
          </w:rPr>
          <w:t xml:space="preserve"> registry</w:t>
        </w:r>
      </w:hyperlink>
      <w:r>
        <w:rPr>
          <w:rStyle w:val="None"/>
        </w:rPr>
        <w:t>.</w:t>
      </w:r>
    </w:p>
    <w:p w:rsidR="003810A1" w:rsidRDefault="005C1076">
      <w:pPr>
        <w:pStyle w:val="Heading"/>
        <w:numPr>
          <w:ilvl w:val="0"/>
          <w:numId w:val="4"/>
        </w:numPr>
      </w:pPr>
      <w:r>
        <w:rPr>
          <w:rStyle w:val="None"/>
        </w:rPr>
        <w:t>First appendix</w:t>
      </w:r>
    </w:p>
    <w:p w:rsidR="003810A1" w:rsidRDefault="005C1076">
      <w:pPr>
        <w:pStyle w:val="BodyA"/>
        <w:rPr>
          <w:rFonts w:hint="eastAsia"/>
        </w:rPr>
      </w:pPr>
      <w:r>
        <w:rPr>
          <w:rStyle w:val="None"/>
        </w:rPr>
        <w:t xml:space="preserve">Add material which is better left outside the main text in a series of Appendices labeled by </w:t>
      </w:r>
      <w:r>
        <w:rPr>
          <w:rStyle w:val="None"/>
          <w:lang w:val="it-IT"/>
        </w:rPr>
        <w:t>capital letters.</w:t>
      </w:r>
    </w:p>
    <w:p w:rsidR="003810A1" w:rsidRDefault="005C1076">
      <w:pPr>
        <w:pStyle w:val="Heading"/>
        <w:numPr>
          <w:ilvl w:val="0"/>
          <w:numId w:val="4"/>
        </w:numPr>
      </w:pPr>
      <w:r>
        <w:rPr>
          <w:rStyle w:val="None"/>
        </w:rPr>
        <w:t>About references</w:t>
      </w:r>
    </w:p>
    <w:p w:rsidR="003810A1" w:rsidRDefault="005C1076">
      <w:pPr>
        <w:pStyle w:val="BodyA"/>
        <w:rPr>
          <w:rStyle w:val="None"/>
        </w:rPr>
      </w:pPr>
      <w:r>
        <w:rPr>
          <w:rStyle w:val="None"/>
        </w:rPr>
        <w:t>Your references should use APA style, completed by the DOI link (linking must be implemented before publication).</w:t>
      </w:r>
    </w:p>
    <w:p w:rsidR="00A63133" w:rsidRDefault="00A63133" w:rsidP="00ED2C64">
      <w:pPr>
        <w:pStyle w:val="BodyA"/>
        <w:ind w:left="720" w:hanging="720"/>
        <w:rPr>
          <w:rFonts w:cs="Arial"/>
          <w:color w:val="222222"/>
          <w:shd w:val="clear" w:color="auto" w:fill="FFFFFF"/>
        </w:rPr>
      </w:pPr>
      <w:r w:rsidRPr="00A63133">
        <w:rPr>
          <w:rFonts w:cs="Arial"/>
          <w:color w:val="222222"/>
          <w:shd w:val="clear" w:color="auto" w:fill="FFFFFF"/>
          <w:lang w:val="nl-NL"/>
        </w:rPr>
        <w:t xml:space="preserve">Klotz, A., </w:t>
      </w:r>
      <w:proofErr w:type="spellStart"/>
      <w:r w:rsidRPr="00A63133">
        <w:rPr>
          <w:rFonts w:cs="Arial"/>
          <w:color w:val="222222"/>
          <w:shd w:val="clear" w:color="auto" w:fill="FFFFFF"/>
          <w:lang w:val="nl-NL"/>
        </w:rPr>
        <w:t>Prakash</w:t>
      </w:r>
      <w:proofErr w:type="spellEnd"/>
      <w:r w:rsidRPr="00A63133">
        <w:rPr>
          <w:rFonts w:cs="Arial"/>
          <w:color w:val="222222"/>
          <w:shd w:val="clear" w:color="auto" w:fill="FFFFFF"/>
          <w:lang w:val="nl-NL"/>
        </w:rPr>
        <w:t xml:space="preserve">, D., Klotz, A., &amp; </w:t>
      </w:r>
      <w:proofErr w:type="spellStart"/>
      <w:r w:rsidRPr="00A63133">
        <w:rPr>
          <w:rFonts w:cs="Arial"/>
          <w:color w:val="222222"/>
          <w:shd w:val="clear" w:color="auto" w:fill="FFFFFF"/>
          <w:lang w:val="nl-NL"/>
        </w:rPr>
        <w:t>Prakash</w:t>
      </w:r>
      <w:proofErr w:type="spellEnd"/>
      <w:r w:rsidRPr="00A63133">
        <w:rPr>
          <w:rFonts w:cs="Arial"/>
          <w:color w:val="222222"/>
          <w:shd w:val="clear" w:color="auto" w:fill="FFFFFF"/>
          <w:lang w:val="nl-NL"/>
        </w:rPr>
        <w:t>, D. (2008). </w:t>
      </w:r>
      <w:r w:rsidRPr="00A63133">
        <w:rPr>
          <w:rFonts w:cs="Arial"/>
          <w:i/>
          <w:iCs/>
          <w:color w:val="222222"/>
          <w:shd w:val="clear" w:color="auto" w:fill="FFFFFF"/>
        </w:rPr>
        <w:t>Qualitative methods in international relations</w:t>
      </w:r>
      <w:r w:rsidRPr="00A63133">
        <w:rPr>
          <w:rFonts w:cs="Arial"/>
          <w:color w:val="222222"/>
          <w:shd w:val="clear" w:color="auto" w:fill="FFFFFF"/>
        </w:rPr>
        <w:t>. Palgrave Macmillan.</w:t>
      </w:r>
    </w:p>
    <w:p w:rsidR="00800348" w:rsidRDefault="00800348" w:rsidP="00ED2C64">
      <w:pPr>
        <w:pStyle w:val="BodyA"/>
        <w:ind w:left="720" w:hanging="720"/>
        <w:rPr>
          <w:rFonts w:cs="Arial"/>
          <w:color w:val="222222"/>
          <w:shd w:val="clear" w:color="auto" w:fill="FFFFFF"/>
        </w:rPr>
      </w:pPr>
      <w:r w:rsidRPr="00ED2C64">
        <w:rPr>
          <w:rFonts w:cs="Arial"/>
          <w:color w:val="222222"/>
          <w:shd w:val="clear" w:color="auto" w:fill="FFFFFF"/>
        </w:rPr>
        <w:lastRenderedPageBreak/>
        <w:t>Landau, L. B., &amp; Freemantle, I. (2010). Tactical cosmopolitanism and idioms of belonging: Insertion and self-exclusion in Johannesburg. </w:t>
      </w:r>
      <w:r w:rsidRPr="00ED2C64">
        <w:rPr>
          <w:rFonts w:cs="Arial"/>
          <w:i/>
          <w:iCs/>
          <w:color w:val="222222"/>
          <w:shd w:val="clear" w:color="auto" w:fill="FFFFFF"/>
        </w:rPr>
        <w:t>Journal of Ethnic and Migration Studies</w:t>
      </w:r>
      <w:r w:rsidRPr="00ED2C64">
        <w:rPr>
          <w:rFonts w:cs="Arial"/>
          <w:color w:val="222222"/>
          <w:shd w:val="clear" w:color="auto" w:fill="FFFFFF"/>
        </w:rPr>
        <w:t>, </w:t>
      </w:r>
      <w:r w:rsidRPr="00ED2C64">
        <w:rPr>
          <w:rFonts w:cs="Arial"/>
          <w:i/>
          <w:iCs/>
          <w:color w:val="222222"/>
          <w:shd w:val="clear" w:color="auto" w:fill="FFFFFF"/>
        </w:rPr>
        <w:t>36</w:t>
      </w:r>
      <w:r w:rsidRPr="00ED2C64">
        <w:rPr>
          <w:rFonts w:cs="Arial"/>
          <w:color w:val="222222"/>
          <w:shd w:val="clear" w:color="auto" w:fill="FFFFFF"/>
        </w:rPr>
        <w:t>(3), 375-390.</w:t>
      </w:r>
      <w:r w:rsidR="00ED2C64" w:rsidRPr="00ED2C64">
        <w:rPr>
          <w:rFonts w:cs="Arial"/>
          <w:color w:val="222222"/>
          <w:shd w:val="clear" w:color="auto" w:fill="FFFFFF"/>
        </w:rPr>
        <w:t xml:space="preserve"> </w:t>
      </w:r>
      <w:hyperlink r:id="rId9" w:history="1">
        <w:r w:rsidR="00ED2C64" w:rsidRPr="00ED2C64">
          <w:rPr>
            <w:rStyle w:val="Hyperlink"/>
            <w:rFonts w:cs="Arial"/>
            <w:shd w:val="clear" w:color="auto" w:fill="FFFFFF"/>
          </w:rPr>
          <w:t>https://www.tandfonline.com/doi/full/10.1080/13691830903494901</w:t>
        </w:r>
      </w:hyperlink>
      <w:r w:rsidR="00ED2C64" w:rsidRPr="00ED2C64">
        <w:rPr>
          <w:rFonts w:cs="Arial"/>
          <w:color w:val="222222"/>
          <w:shd w:val="clear" w:color="auto" w:fill="FFFFFF"/>
        </w:rPr>
        <w:t xml:space="preserve"> </w:t>
      </w:r>
    </w:p>
    <w:p w:rsidR="00A63133" w:rsidRDefault="00A63133" w:rsidP="00A63133">
      <w:pPr>
        <w:pStyle w:val="BodyA"/>
        <w:spacing w:before="0"/>
        <w:ind w:left="720" w:hanging="720"/>
        <w:rPr>
          <w:rFonts w:cs="Arial"/>
          <w:color w:val="222222"/>
          <w:shd w:val="clear" w:color="auto" w:fill="FFFFFF"/>
        </w:rPr>
      </w:pPr>
      <w:r w:rsidRPr="00A63133">
        <w:rPr>
          <w:rFonts w:cs="Arial"/>
          <w:color w:val="222222"/>
          <w:shd w:val="clear" w:color="auto" w:fill="FFFFFF"/>
        </w:rPr>
        <w:t>Sadiq, K. (2017). Postcolonial citizenship. I</w:t>
      </w:r>
      <w:r>
        <w:rPr>
          <w:rFonts w:cs="Arial"/>
          <w:color w:val="222222"/>
          <w:shd w:val="clear" w:color="auto" w:fill="FFFFFF"/>
        </w:rPr>
        <w:t xml:space="preserve">n </w:t>
      </w:r>
      <w:proofErr w:type="spellStart"/>
      <w:r>
        <w:rPr>
          <w:rFonts w:cs="Arial"/>
          <w:color w:val="222222"/>
          <w:shd w:val="clear" w:color="auto" w:fill="FFFFFF"/>
        </w:rPr>
        <w:t>Shachar</w:t>
      </w:r>
      <w:proofErr w:type="spellEnd"/>
      <w:r>
        <w:rPr>
          <w:rFonts w:cs="Arial"/>
          <w:color w:val="222222"/>
          <w:shd w:val="clear" w:color="auto" w:fill="FFFFFF"/>
        </w:rPr>
        <w:t xml:space="preserve">, A., </w:t>
      </w:r>
      <w:proofErr w:type="spellStart"/>
      <w:r>
        <w:rPr>
          <w:rFonts w:cs="Arial"/>
          <w:color w:val="222222"/>
          <w:shd w:val="clear" w:color="auto" w:fill="FFFFFF"/>
        </w:rPr>
        <w:t>Baub</w:t>
      </w:r>
      <w:r>
        <w:rPr>
          <w:rFonts w:cs="Arial" w:hint="eastAsia"/>
          <w:color w:val="222222"/>
          <w:shd w:val="clear" w:color="auto" w:fill="FFFFFF"/>
        </w:rPr>
        <w:t>ö</w:t>
      </w:r>
      <w:r>
        <w:rPr>
          <w:rFonts w:cs="Arial"/>
          <w:color w:val="222222"/>
          <w:shd w:val="clear" w:color="auto" w:fill="FFFFFF"/>
        </w:rPr>
        <w:t>ck</w:t>
      </w:r>
      <w:proofErr w:type="spellEnd"/>
      <w:r>
        <w:rPr>
          <w:rFonts w:cs="Arial"/>
          <w:color w:val="222222"/>
          <w:shd w:val="clear" w:color="auto" w:fill="FFFFFF"/>
        </w:rPr>
        <w:t xml:space="preserve">, R., </w:t>
      </w:r>
      <w:proofErr w:type="spellStart"/>
      <w:r>
        <w:rPr>
          <w:rFonts w:cs="Arial"/>
          <w:color w:val="222222"/>
          <w:shd w:val="clear" w:color="auto" w:fill="FFFFFF"/>
        </w:rPr>
        <w:t>Bloemraad</w:t>
      </w:r>
      <w:proofErr w:type="spellEnd"/>
      <w:r>
        <w:rPr>
          <w:rFonts w:cs="Arial"/>
          <w:color w:val="222222"/>
          <w:shd w:val="clear" w:color="auto" w:fill="FFFFFF"/>
        </w:rPr>
        <w:t xml:space="preserve">, I. and Vink, M. (eds) </w:t>
      </w:r>
      <w:r w:rsidRPr="00A63133">
        <w:rPr>
          <w:rFonts w:cs="Arial"/>
          <w:i/>
          <w:iCs/>
          <w:color w:val="222222"/>
          <w:shd w:val="clear" w:color="auto" w:fill="FFFFFF"/>
        </w:rPr>
        <w:t>The Oxford handbook of citizenship</w:t>
      </w:r>
      <w:r w:rsidRPr="00A63133">
        <w:rPr>
          <w:rFonts w:cs="Arial"/>
          <w:color w:val="222222"/>
          <w:shd w:val="clear" w:color="auto" w:fill="FFFFFF"/>
        </w:rPr>
        <w:t>.</w:t>
      </w:r>
      <w:r>
        <w:rPr>
          <w:rFonts w:cs="Arial"/>
          <w:color w:val="222222"/>
          <w:shd w:val="clear" w:color="auto" w:fill="FFFFFF"/>
        </w:rPr>
        <w:t xml:space="preserve"> (pp 178-199) . Oxford: Oxford University Press</w:t>
      </w:r>
    </w:p>
    <w:p w:rsidR="00A63133" w:rsidRDefault="00A63133" w:rsidP="00A63133">
      <w:pPr>
        <w:pStyle w:val="BodyA"/>
        <w:spacing w:before="0"/>
        <w:ind w:left="720" w:hanging="720"/>
        <w:rPr>
          <w:rFonts w:cs="Arial"/>
          <w:color w:val="222222"/>
          <w:shd w:val="clear" w:color="auto" w:fill="FFFFFF"/>
        </w:rPr>
      </w:pPr>
      <w:proofErr w:type="spellStart"/>
      <w:r>
        <w:t>Thiollet</w:t>
      </w:r>
      <w:proofErr w:type="spellEnd"/>
      <w:r>
        <w:t>, H. (2016)</w:t>
      </w:r>
      <w:r>
        <w:t xml:space="preserve">. </w:t>
      </w:r>
      <w:r w:rsidRPr="0053093E">
        <w:rPr>
          <w:i/>
          <w:iCs/>
        </w:rPr>
        <w:t xml:space="preserve">Managing migrant </w:t>
      </w:r>
      <w:proofErr w:type="spellStart"/>
      <w:r w:rsidRPr="0053093E">
        <w:rPr>
          <w:i/>
          <w:iCs/>
        </w:rPr>
        <w:t>labour</w:t>
      </w:r>
      <w:proofErr w:type="spellEnd"/>
      <w:r w:rsidRPr="0053093E">
        <w:rPr>
          <w:i/>
          <w:iCs/>
        </w:rPr>
        <w:t xml:space="preserve"> in the Gulf: Transnational dynamics of migration politics since the 1930s</w:t>
      </w:r>
      <w:r>
        <w:t xml:space="preserve">. </w:t>
      </w:r>
      <w:r w:rsidR="0053093E">
        <w:t xml:space="preserve">(IMI working paper 131). Oxford: </w:t>
      </w:r>
      <w:proofErr w:type="spellStart"/>
      <w:r w:rsidR="0053093E">
        <w:t>Interntional</w:t>
      </w:r>
      <w:proofErr w:type="spellEnd"/>
      <w:r w:rsidR="0053093E">
        <w:t xml:space="preserve"> Migration Institute  </w:t>
      </w:r>
      <w:hyperlink r:id="rId10" w:history="1">
        <w:r w:rsidR="0053093E" w:rsidRPr="00E005CF">
          <w:rPr>
            <w:rStyle w:val="Hyperlink"/>
          </w:rPr>
          <w:t>https://www.migrationinstitute.org/publications/managing-migrant-labour-in-the-gulf-transnational-dynamics-of-migration-politics-since-the-1930s</w:t>
        </w:r>
      </w:hyperlink>
      <w:r w:rsidR="0053093E">
        <w:t xml:space="preserve"> </w:t>
      </w:r>
    </w:p>
    <w:p w:rsidR="00A63133" w:rsidRDefault="00A63133" w:rsidP="00A63133">
      <w:pPr>
        <w:pStyle w:val="BodyA"/>
        <w:spacing w:before="0"/>
        <w:ind w:left="720" w:hanging="720"/>
        <w:rPr>
          <w:rFonts w:cs="Arial"/>
          <w:color w:val="222222"/>
          <w:shd w:val="clear" w:color="auto" w:fill="FFFFFF"/>
        </w:rPr>
      </w:pPr>
    </w:p>
    <w:p w:rsidR="00A63133" w:rsidRPr="00ED2C64" w:rsidRDefault="00A63133" w:rsidP="00ED2C64">
      <w:pPr>
        <w:pStyle w:val="BodyA"/>
        <w:ind w:left="720" w:hanging="720"/>
        <w:rPr>
          <w:rStyle w:val="None"/>
        </w:rPr>
      </w:pPr>
      <w:bookmarkStart w:id="0" w:name="_GoBack"/>
      <w:bookmarkEnd w:id="0"/>
    </w:p>
    <w:p w:rsidR="00800348" w:rsidRDefault="00800348">
      <w:pPr>
        <w:pStyle w:val="BodyA"/>
        <w:rPr>
          <w:rFonts w:hint="eastAsia"/>
        </w:rPr>
      </w:pPr>
    </w:p>
    <w:sectPr w:rsidR="008003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701" w:bottom="1417" w:left="1701" w:header="680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694" w:rsidRDefault="00246694">
      <w:r>
        <w:separator/>
      </w:r>
    </w:p>
  </w:endnote>
  <w:endnote w:type="continuationSeparator" w:id="0">
    <w:p w:rsidR="00246694" w:rsidRDefault="00246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riweather Bold">
    <w:altName w:val="Cambria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Merriweather Regular">
    <w:altName w:val="Cambria"/>
    <w:charset w:val="00"/>
    <w:family w:val="roman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AB1" w:rsidRDefault="00F37A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0A1" w:rsidRDefault="005C1076">
    <w:pPr>
      <w:pStyle w:val="HeaderFooterA"/>
      <w:tabs>
        <w:tab w:val="clear" w:pos="9020"/>
        <w:tab w:val="center" w:pos="4252"/>
        <w:tab w:val="right" w:pos="8478"/>
      </w:tabs>
      <w:rPr>
        <w:rFonts w:hint="eastAsia"/>
      </w:rPr>
    </w:pPr>
    <w:r>
      <w:rPr>
        <w:rFonts w:ascii="Merriweather Regular" w:eastAsia="Merriweather Regular" w:hAnsi="Merriweather Regular" w:cs="Merriweather Regular"/>
        <w:sz w:val="22"/>
        <w:szCs w:val="22"/>
      </w:rPr>
      <w:tab/>
    </w:r>
    <w:r>
      <w:rPr>
        <w:rFonts w:ascii="Merriweather Regular" w:eastAsia="Merriweather Regular" w:hAnsi="Merriweather Regular" w:cs="Merriweather Regular"/>
        <w:sz w:val="22"/>
        <w:szCs w:val="22"/>
      </w:rPr>
      <w:fldChar w:fldCharType="begin"/>
    </w:r>
    <w:r>
      <w:rPr>
        <w:rFonts w:ascii="Merriweather Regular" w:eastAsia="Merriweather Regular" w:hAnsi="Merriweather Regular" w:cs="Merriweather Regular"/>
        <w:sz w:val="22"/>
        <w:szCs w:val="22"/>
      </w:rPr>
      <w:instrText xml:space="preserve"> PAGE </w:instrText>
    </w:r>
    <w:r>
      <w:rPr>
        <w:rFonts w:ascii="Merriweather Regular" w:eastAsia="Merriweather Regular" w:hAnsi="Merriweather Regular" w:cs="Merriweather Regular"/>
        <w:sz w:val="22"/>
        <w:szCs w:val="22"/>
      </w:rPr>
      <w:fldChar w:fldCharType="separate"/>
    </w:r>
    <w:r w:rsidR="00F37AB1">
      <w:rPr>
        <w:rFonts w:ascii="Merriweather Regular" w:eastAsia="Merriweather Regular" w:hAnsi="Merriweather Regular" w:cs="Merriweather Regular"/>
        <w:noProof/>
        <w:sz w:val="22"/>
        <w:szCs w:val="22"/>
      </w:rPr>
      <w:t>1</w:t>
    </w:r>
    <w:r>
      <w:rPr>
        <w:rFonts w:ascii="Merriweather Regular" w:eastAsia="Merriweather Regular" w:hAnsi="Merriweather Regular" w:cs="Merriweather Regular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AB1" w:rsidRDefault="00F37A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694" w:rsidRDefault="00246694">
      <w:r>
        <w:separator/>
      </w:r>
    </w:p>
  </w:footnote>
  <w:footnote w:type="continuationSeparator" w:id="0">
    <w:p w:rsidR="00246694" w:rsidRDefault="00246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AB1" w:rsidRDefault="00F37A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0A1" w:rsidRDefault="005C1076">
    <w:pPr>
      <w:pStyle w:val="HeaderFooterA"/>
      <w:tabs>
        <w:tab w:val="clear" w:pos="9020"/>
        <w:tab w:val="center" w:pos="4252"/>
        <w:tab w:val="right" w:pos="8478"/>
      </w:tabs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1149985</wp:posOffset>
              </wp:positionH>
              <wp:positionV relativeFrom="page">
                <wp:posOffset>415925</wp:posOffset>
              </wp:positionV>
              <wp:extent cx="915034" cy="915034"/>
              <wp:effectExtent l="0" t="0" r="0" b="0"/>
              <wp:wrapNone/>
              <wp:docPr id="1073741827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5034" cy="915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810A1" w:rsidRDefault="005C1076">
                          <w:pPr>
                            <w:pStyle w:val="BodyB"/>
                          </w:pPr>
                          <w:r>
                            <w:rPr>
                              <w:color w:val="FFFFFF"/>
                              <w:sz w:val="22"/>
                              <w:szCs w:val="22"/>
                              <w:u w:color="FFFFFF"/>
                            </w:rPr>
                            <w:t>SciPost Chemistry</w:t>
                          </w:r>
                        </w:p>
                      </w:txbxContent>
                    </wps:txbx>
                    <wps:bodyPr wrap="square" lIns="50760" tIns="50760" rIns="50760" bIns="5076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90.6pt;margin-top:32.8pt;width:72.0pt;height:7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B"/>
                    </w:pPr>
                    <w:r>
                      <w:rPr>
                        <w:outline w:val="0"/>
                        <w:color w:val="ffffff"/>
                        <w:sz w:val="22"/>
                        <w:szCs w:val="22"/>
                        <w:u w:val="none" w:color="ffffff"/>
                        <w:rtl w:val="0"/>
                        <w:lang w:val="en-US"/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SciPost Chemistry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5622290</wp:posOffset>
              </wp:positionH>
              <wp:positionV relativeFrom="page">
                <wp:posOffset>409575</wp:posOffset>
              </wp:positionV>
              <wp:extent cx="915034" cy="915034"/>
              <wp:effectExtent l="0" t="0" r="0" b="0"/>
              <wp:wrapNone/>
              <wp:docPr id="1073741828" name="officeArt object" descr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5034" cy="915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810A1" w:rsidRDefault="005C1076">
                          <w:pPr>
                            <w:pStyle w:val="BodyB"/>
                          </w:pPr>
                          <w:r>
                            <w:rPr>
                              <w:color w:val="FFFFFF"/>
                              <w:sz w:val="22"/>
                              <w:szCs w:val="22"/>
                              <w:u w:color="FFFFFF"/>
                            </w:rPr>
                            <w:t>Submission</w:t>
                          </w:r>
                        </w:p>
                      </w:txbxContent>
                    </wps:txbx>
                    <wps:bodyPr wrap="square" lIns="50760" tIns="50760" rIns="50760" bIns="5076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style="visibility:visible;position:absolute;margin-left:442.7pt;margin-top:32.2pt;width:72.0pt;height:72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B"/>
                    </w:pPr>
                    <w:r>
                      <w:rPr>
                        <w:outline w:val="0"/>
                        <w:color w:val="ffffff"/>
                        <w:sz w:val="22"/>
                        <w:szCs w:val="22"/>
                        <w:u w:val="none" w:color="ffffff"/>
                        <w:rtl w:val="0"/>
                        <w:lang w:val="en-US"/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Submission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431800</wp:posOffset>
              </wp:positionV>
              <wp:extent cx="1309370" cy="267971"/>
              <wp:effectExtent l="0" t="0" r="0" b="0"/>
              <wp:wrapNone/>
              <wp:docPr id="1073741829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9370" cy="26797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810A1" w:rsidRDefault="005C1076">
                          <w:pPr>
                            <w:pStyle w:val="BodyA"/>
                            <w:rPr>
                              <w:rFonts w:hint="eastAsia"/>
                            </w:rPr>
                          </w:pPr>
                          <w:r>
                            <w:rPr>
                              <w:color w:val="FEFFFF"/>
                              <w:u w:color="FEFFFF"/>
                            </w:rPr>
                            <w:t>SciPost Chemistry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visibility:visible;position:absolute;margin-left:85.1pt;margin-top:34.0pt;width:103.1pt;height:21.1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A"/>
                    </w:pPr>
                    <w:r>
                      <w:rPr>
                        <w:outline w:val="0"/>
                        <w:color w:val="feffff"/>
                        <w:u w:val="none" w:color="feffff"/>
                        <w:rtl w:val="0"/>
                        <w:lang w:val="en-US"/>
                        <w14:textFill>
                          <w14:solidFill>
                            <w14:srgbClr w14:val="FEFFFF"/>
                          </w14:solidFill>
                        </w14:textFill>
                      </w:rPr>
                      <w:t>SciPost Chemistry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431800</wp:posOffset>
              </wp:positionV>
              <wp:extent cx="884556" cy="267971"/>
              <wp:effectExtent l="0" t="0" r="0" b="0"/>
              <wp:wrapNone/>
              <wp:docPr id="1073741830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4556" cy="26797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810A1" w:rsidRDefault="005C1076">
                          <w:pPr>
                            <w:pStyle w:val="BodyA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Merriweather Bold" w:hAnsi="Merriweather Bold"/>
                              <w:color w:val="FEFFFF"/>
                              <w:u w:color="FEFFFF"/>
                            </w:rPr>
                            <w:t xml:space="preserve"> </w:t>
                          </w:r>
                          <w:r>
                            <w:rPr>
                              <w:color w:val="FEFFFF"/>
                              <w:u w:color="FEFFFF"/>
                            </w:rPr>
                            <w:t>Submission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visibility:visible;position:absolute;margin-left:85.1pt;margin-top:34.0pt;width:69.7pt;height:21.1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A"/>
                    </w:pPr>
                    <w:r>
                      <w:rPr>
                        <w:rFonts w:ascii="Merriweather Bold" w:hAnsi="Merriweather Bold"/>
                        <w:outline w:val="0"/>
                        <w:color w:val="feffff"/>
                        <w:u w:val="none" w:color="feffff"/>
                        <w:rtl w:val="0"/>
                        <w:lang w:val="en-US"/>
                        <w14:textFill>
                          <w14:solidFill>
                            <w14:srgbClr w14:val="FEFFFF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outline w:val="0"/>
                        <w:color w:val="feffff"/>
                        <w:u w:val="none" w:color="feffff"/>
                        <w:rtl w:val="0"/>
                        <w:lang w:val="en-US"/>
                        <w14:textFill>
                          <w14:solidFill>
                            <w14:srgbClr w14:val="FEFFFF"/>
                          </w14:solidFill>
                        </w14:textFill>
                      </w:rPr>
                      <w:t>Submission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431800</wp:posOffset>
              </wp:positionV>
              <wp:extent cx="1309370" cy="267971"/>
              <wp:effectExtent l="0" t="0" r="0" b="0"/>
              <wp:wrapNone/>
              <wp:docPr id="1073741831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9370" cy="26797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810A1" w:rsidRDefault="005C1076">
                          <w:pPr>
                            <w:pStyle w:val="BodyA"/>
                            <w:rPr>
                              <w:rFonts w:hint="eastAsia"/>
                            </w:rPr>
                          </w:pPr>
                          <w:r>
                            <w:rPr>
                              <w:color w:val="FEFFFF"/>
                              <w:u w:color="FEFFFF"/>
                            </w:rPr>
                            <w:t>SciPost Chemistry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visibility:visible;position:absolute;margin-left:85.1pt;margin-top:34.0pt;width:103.1pt;height:21.1pt;z-index:-2516541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A"/>
                    </w:pPr>
                    <w:r>
                      <w:rPr>
                        <w:outline w:val="0"/>
                        <w:color w:val="feffff"/>
                        <w:u w:val="none" w:color="feffff"/>
                        <w:rtl w:val="0"/>
                        <w:lang w:val="en-US"/>
                        <w14:textFill>
                          <w14:solidFill>
                            <w14:srgbClr w14:val="FEFFFF"/>
                          </w14:solidFill>
                        </w14:textFill>
                      </w:rPr>
                      <w:t>SciPost Chemistry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431800</wp:posOffset>
              </wp:positionV>
              <wp:extent cx="884556" cy="267971"/>
              <wp:effectExtent l="0" t="0" r="0" b="0"/>
              <wp:wrapNone/>
              <wp:docPr id="1073741832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4556" cy="26797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810A1" w:rsidRDefault="005C1076">
                          <w:pPr>
                            <w:pStyle w:val="BodyA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Merriweather Bold" w:hAnsi="Merriweather Bold"/>
                              <w:color w:val="FEFFFF"/>
                              <w:u w:color="FEFFFF"/>
                            </w:rPr>
                            <w:t xml:space="preserve"> </w:t>
                          </w:r>
                          <w:r>
                            <w:rPr>
                              <w:color w:val="FEFFFF"/>
                              <w:u w:color="FEFFFF"/>
                            </w:rPr>
                            <w:t>Submission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visibility:visible;position:absolute;margin-left:85.1pt;margin-top:34.0pt;width:69.7pt;height:21.1pt;z-index:-25165312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A"/>
                    </w:pPr>
                    <w:r>
                      <w:rPr>
                        <w:rFonts w:ascii="Merriweather Bold" w:hAnsi="Merriweather Bold"/>
                        <w:outline w:val="0"/>
                        <w:color w:val="feffff"/>
                        <w:u w:val="none" w:color="feffff"/>
                        <w:rtl w:val="0"/>
                        <w:lang w:val="en-US"/>
                        <w14:textFill>
                          <w14:solidFill>
                            <w14:srgbClr w14:val="FEFFFF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outline w:val="0"/>
                        <w:color w:val="feffff"/>
                        <w:u w:val="none" w:color="feffff"/>
                        <w:rtl w:val="0"/>
                        <w:lang w:val="en-US"/>
                        <w14:textFill>
                          <w14:solidFill>
                            <w14:srgbClr w14:val="FEFFFF"/>
                          </w14:solidFill>
                        </w14:textFill>
                      </w:rPr>
                      <w:t>Submission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 w:rsidR="00F37AB1" w:rsidRPr="00F37AB1">
      <w:t xml:space="preserve"> </w:t>
    </w:r>
    <w:r w:rsidR="00F37AB1">
      <w:rPr>
        <w:noProof/>
      </w:rPr>
      <w:drawing>
        <wp:inline distT="0" distB="0" distL="0" distR="0">
          <wp:extent cx="712519" cy="319451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877" cy="323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u w:val="single"/>
      </w:rPr>
      <w:tab/>
    </w:r>
    <w:r>
      <w:rPr>
        <w:u w:val="single"/>
      </w:rPr>
      <w:tab/>
    </w:r>
    <w:r>
      <w:rPr>
        <w:noProof/>
        <w:u w:val="single"/>
      </w:rPr>
      <mc:AlternateContent>
        <mc:Choice Requires="wps">
          <w:drawing>
            <wp:inline distT="0" distB="0" distL="0" distR="0">
              <wp:extent cx="884556" cy="267709"/>
              <wp:effectExtent l="0" t="0" r="0" b="0"/>
              <wp:docPr id="1073741826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4556" cy="267709"/>
                      </a:xfrm>
                      <a:prstGeom prst="rect">
                        <a:avLst/>
                      </a:prstGeom>
                      <a:solidFill>
                        <a:srgbClr val="6885C3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810A1" w:rsidRDefault="005C1076">
                          <w:pPr>
                            <w:pStyle w:val="BodyA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Merriweather Bold" w:hAnsi="Merriweather Bold"/>
                              <w:color w:val="FEFFFF"/>
                              <w:u w:color="FEFFFF"/>
                            </w:rPr>
                            <w:t xml:space="preserve"> </w:t>
                          </w:r>
                          <w:r w:rsidRPr="00F37AB1">
                            <w:rPr>
                              <w:color w:val="FFFFFF" w:themeColor="background1"/>
                              <w:u w:color="FEFFFF"/>
                            </w:rPr>
                            <w:t>Submission</w:t>
                          </w:r>
                        </w:p>
                      </w:txbxContent>
                    </wps:txbx>
                    <wps:bodyPr wrap="square" lIns="50760" tIns="50760" rIns="50760" bIns="50760" numCol="1" anchor="t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officeArt object" o:spid="_x0000_s1032" alt="officeArt object" style="width:69.65pt;height:2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mdy+gEAAOwDAAAOAAAAZHJzL2Uyb0RvYy54bWysU9uO0zAQfUfiHyy/06TZNglR09Wqq0VI&#10;CFZa+ADHsRsj37DdJv17xm62Lewbog+u5+IzM2dONveTkujInBdGt3i5yDFimppe6H2Lf3x/+lBj&#10;5APRPZFGsxafmMf32/fvNqNtWGEGI3vmEIBo34y2xUMItskyTwemiF8YyzQEuXGKBDDdPusdGQFd&#10;yazI8zIbjeutM5R5D97HcxBvEz7njIZvnHsWkGwx9BbS6dLZxTPbbkizd8QOgs5tkH/oQhGhoegF&#10;6pEEgg5OvIFSgjrjDQ8LalRmOBeUpRlgmmX+1zQvA7EszQLkeHuhyf8/WPr1+OyQ6GF3eXVXrZZ1&#10;UWKkiYJdnbt7cAGZ7icwiVHPPAXy3gSAxdH6BsBe7LObLQ/XSMnEnYr/8ApNifnThXk2BUTBWder&#10;9RoKUwgVZVXlH+Nmsutj63z4xIxC8dJiF9uJoOT4xYdz6mtKdHsjRf8kpEyG23c76dCRgAjKul7v&#10;7mb0P9KkRiPQUFQ5CIUSECOX5FxFm4gFZUijRADBSqFavMrjb4aSOkZZktzcUqTkTEK8hambEtFl&#10;fBE9nelPQP4I6mux/3UgjmEkP2tY7zqvyijXW8PdGt2toQ9qZ2C2JUZE08HAil77fjgEw0Vi6FoS&#10;mI0GSCpxPMs/avbWTlnXj3T7GwAA//8DAFBLAwQUAAYACAAAACEAjZgrqNkAAAAEAQAADwAAAGRy&#10;cy9kb3ducmV2LnhtbEyPwU7DMBBE70j9B2srcaNOE4QgxKlQJSROIArlvImXJNReR7abhr/H5QKX&#10;lUYzmnlbbWZrxEQ+DI4VrFcZCOLW6YE7Be9vj1e3IEJE1mgck4JvCrCpFxcVltqd+JWmXexEKuFQ&#10;ooI+xrGUMrQ9WQwrNxIn79N5izFJ30nt8ZTKrZF5lt1IiwOnhR5H2vbUHnZHq+CZJzRbDsXT/oNe&#10;/D7zX03eKHW5nB/uQUSa418YzvgJHerE1Lgj6yCMgvRI/L1nr7grQDQKrvMcZF3J//D1DwAAAP//&#10;AwBQSwECLQAUAAYACAAAACEAtoM4kv4AAADhAQAAEwAAAAAAAAAAAAAAAAAAAAAAW0NvbnRlbnRf&#10;VHlwZXNdLnhtbFBLAQItABQABgAIAAAAIQA4/SH/1gAAAJQBAAALAAAAAAAAAAAAAAAAAC8BAABf&#10;cmVscy8ucmVsc1BLAQItABQABgAIAAAAIQC+imdy+gEAAOwDAAAOAAAAAAAAAAAAAAAAAC4CAABk&#10;cnMvZTJvRG9jLnhtbFBLAQItABQABgAIAAAAIQCNmCuo2QAAAAQBAAAPAAAAAAAAAAAAAAAAAFQE&#10;AABkcnMvZG93bnJldi54bWxQSwUGAAAAAAQABADzAAAAWgUAAAAA&#10;" fillcolor="#6885c3" stroked="f" strokeweight="1pt">
              <v:stroke miterlimit="4"/>
              <v:textbox inset="1.41mm,1.41mm,1.41mm,1.41mm">
                <w:txbxContent>
                  <w:p w:rsidR="003810A1" w:rsidRDefault="005C1076">
                    <w:pPr>
                      <w:pStyle w:val="BodyA"/>
                    </w:pPr>
                    <w:r>
                      <w:rPr>
                        <w:rFonts w:ascii="Merriweather Bold" w:hAnsi="Merriweather Bold"/>
                        <w:color w:val="FEFFFF"/>
                        <w:u w:color="FEFFFF"/>
                      </w:rPr>
                      <w:t xml:space="preserve"> </w:t>
                    </w:r>
                    <w:r w:rsidRPr="00F37AB1">
                      <w:rPr>
                        <w:color w:val="FFFFFF" w:themeColor="background1"/>
                        <w:u w:color="FEFFFF"/>
                      </w:rPr>
                      <w:t>S</w:t>
                    </w:r>
                    <w:bookmarkStart w:id="1" w:name="_GoBack"/>
                    <w:r w:rsidRPr="00F37AB1">
                      <w:rPr>
                        <w:color w:val="FFFFFF" w:themeColor="background1"/>
                        <w:u w:color="FEFFFF"/>
                      </w:rPr>
                      <w:t>ubmission</w:t>
                    </w:r>
                    <w:bookmarkEnd w:id="1"/>
                  </w:p>
                </w:txbxContent>
              </v:textbox>
              <w10:anchorlock/>
            </v:rect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AB1" w:rsidRDefault="00F37A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22C62"/>
    <w:multiLevelType w:val="hybridMultilevel"/>
    <w:tmpl w:val="C28883C0"/>
    <w:styleLink w:val="ImportedStyle4"/>
    <w:lvl w:ilvl="0" w:tplc="DCA2B3A2">
      <w:start w:val="1"/>
      <w:numFmt w:val="upperLetter"/>
      <w:lvlText w:val="%1."/>
      <w:lvlJc w:val="left"/>
      <w:pPr>
        <w:ind w:left="4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F7A4E260">
      <w:start w:val="1"/>
      <w:numFmt w:val="upperLetter"/>
      <w:lvlText w:val="%2."/>
      <w:lvlJc w:val="left"/>
      <w:pPr>
        <w:ind w:left="81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37A4FF4">
      <w:start w:val="1"/>
      <w:numFmt w:val="upperLetter"/>
      <w:lvlText w:val="%3."/>
      <w:lvlJc w:val="left"/>
      <w:pPr>
        <w:ind w:left="117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AE300D00">
      <w:start w:val="1"/>
      <w:numFmt w:val="upperLetter"/>
      <w:lvlText w:val="%4."/>
      <w:lvlJc w:val="left"/>
      <w:pPr>
        <w:ind w:left="153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EF64708">
      <w:start w:val="1"/>
      <w:numFmt w:val="upperLetter"/>
      <w:lvlText w:val="%5."/>
      <w:lvlJc w:val="left"/>
      <w:pPr>
        <w:ind w:left="189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4AB2E50E">
      <w:start w:val="1"/>
      <w:numFmt w:val="upperLetter"/>
      <w:lvlText w:val="%6."/>
      <w:lvlJc w:val="left"/>
      <w:pPr>
        <w:ind w:left="22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DDDAAE06">
      <w:start w:val="1"/>
      <w:numFmt w:val="upperLetter"/>
      <w:lvlText w:val="%7."/>
      <w:lvlJc w:val="left"/>
      <w:pPr>
        <w:ind w:left="261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A41C5D56">
      <w:start w:val="1"/>
      <w:numFmt w:val="upperLetter"/>
      <w:lvlText w:val="%8."/>
      <w:lvlJc w:val="left"/>
      <w:pPr>
        <w:ind w:left="297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4A3EB9AC">
      <w:start w:val="1"/>
      <w:numFmt w:val="upperLetter"/>
      <w:lvlText w:val="%9."/>
      <w:lvlJc w:val="left"/>
      <w:pPr>
        <w:ind w:left="333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" w15:restartNumberingAfterBreak="0">
    <w:nsid w:val="535A5972"/>
    <w:multiLevelType w:val="hybridMultilevel"/>
    <w:tmpl w:val="4F280FEA"/>
    <w:styleLink w:val="ImportedStyle3"/>
    <w:lvl w:ilvl="0" w:tplc="D4289264">
      <w:start w:val="1"/>
      <w:numFmt w:val="decimal"/>
      <w:lvlText w:val="%1."/>
      <w:lvlJc w:val="left"/>
      <w:pPr>
        <w:ind w:left="4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6C66F0BE">
      <w:start w:val="1"/>
      <w:numFmt w:val="decimal"/>
      <w:lvlText w:val="%2."/>
      <w:lvlJc w:val="left"/>
      <w:pPr>
        <w:ind w:left="81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F60FEE0">
      <w:start w:val="1"/>
      <w:numFmt w:val="decimal"/>
      <w:lvlText w:val="%3."/>
      <w:lvlJc w:val="left"/>
      <w:pPr>
        <w:ind w:left="117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731212B0">
      <w:start w:val="1"/>
      <w:numFmt w:val="decimal"/>
      <w:lvlText w:val="%4."/>
      <w:lvlJc w:val="left"/>
      <w:pPr>
        <w:ind w:left="153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533824A0">
      <w:start w:val="1"/>
      <w:numFmt w:val="decimal"/>
      <w:lvlText w:val="%5."/>
      <w:lvlJc w:val="left"/>
      <w:pPr>
        <w:ind w:left="189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91D06394">
      <w:start w:val="1"/>
      <w:numFmt w:val="decimal"/>
      <w:lvlText w:val="%6."/>
      <w:lvlJc w:val="left"/>
      <w:pPr>
        <w:ind w:left="22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B85064BC">
      <w:start w:val="1"/>
      <w:numFmt w:val="decimal"/>
      <w:lvlText w:val="%7."/>
      <w:lvlJc w:val="left"/>
      <w:pPr>
        <w:ind w:left="261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0A3E446A">
      <w:start w:val="1"/>
      <w:numFmt w:val="decimal"/>
      <w:lvlText w:val="%8."/>
      <w:lvlJc w:val="left"/>
      <w:pPr>
        <w:ind w:left="297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E726263A">
      <w:start w:val="1"/>
      <w:numFmt w:val="decimal"/>
      <w:lvlText w:val="%9."/>
      <w:lvlJc w:val="left"/>
      <w:pPr>
        <w:ind w:left="333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" w15:restartNumberingAfterBreak="0">
    <w:nsid w:val="5C0D1AC6"/>
    <w:multiLevelType w:val="hybridMultilevel"/>
    <w:tmpl w:val="4F280FEA"/>
    <w:numStyleLink w:val="ImportedStyle3"/>
  </w:abstractNum>
  <w:abstractNum w:abstractNumId="3" w15:restartNumberingAfterBreak="0">
    <w:nsid w:val="609F02A7"/>
    <w:multiLevelType w:val="hybridMultilevel"/>
    <w:tmpl w:val="C28883C0"/>
    <w:numStyleLink w:val="ImportedStyle4"/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0A1"/>
    <w:rsid w:val="00246694"/>
    <w:rsid w:val="003810A1"/>
    <w:rsid w:val="0053093E"/>
    <w:rsid w:val="005C1076"/>
    <w:rsid w:val="00800348"/>
    <w:rsid w:val="00A63133"/>
    <w:rsid w:val="00ED2C64"/>
    <w:rsid w:val="00F3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9017E8E"/>
  <w15:docId w15:val="{8045980D-3E71-4B4D-B121-96C4AA6A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next w:val="BodyA"/>
    <w:uiPriority w:val="9"/>
    <w:unhideWhenUsed/>
    <w:qFormat/>
    <w:pPr>
      <w:keepNext/>
      <w:spacing w:before="260"/>
      <w:outlineLvl w:val="1"/>
    </w:pPr>
    <w:rPr>
      <w:rFonts w:ascii="Merriweather Bold" w:eastAsia="Merriweather Bold" w:hAnsi="Merriweather Bold" w:cs="Merriweather Bold"/>
      <w:b/>
      <w:bCs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pPr>
      <w:spacing w:before="280"/>
      <w:jc w:val="both"/>
    </w:pPr>
    <w:rPr>
      <w:rFonts w:ascii="Merriweather Regular" w:hAnsi="Merriweather Regular" w:cs="Arial Unicode MS"/>
      <w:color w:val="000000"/>
      <w:u w:color="000000"/>
      <w:lang w:val="en-US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jc w:val="both"/>
    </w:pPr>
    <w:rPr>
      <w:rFonts w:ascii="Merriweather Regular" w:eastAsia="Merriweather Regular" w:hAnsi="Merriweather Regular" w:cs="Merriweather Regular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sz w:val="20"/>
      <w:szCs w:val="20"/>
      <w:u w:val="single" w:color="FFFFFF"/>
    </w:rPr>
  </w:style>
  <w:style w:type="paragraph" w:customStyle="1" w:styleId="Heading">
    <w:name w:val="Heading"/>
    <w:next w:val="BodyA"/>
    <w:pPr>
      <w:keepNext/>
      <w:spacing w:before="500"/>
      <w:outlineLvl w:val="0"/>
    </w:pPr>
    <w:rPr>
      <w:rFonts w:ascii="Merriweather Bold" w:eastAsia="Merriweather Bold" w:hAnsi="Merriweather Bold" w:cs="Merriweather Bold"/>
      <w:b/>
      <w:bCs/>
      <w:color w:val="000000"/>
      <w:sz w:val="28"/>
      <w:szCs w:val="28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3">
    <w:name w:val="Imported Style 3"/>
    <w:pPr>
      <w:numPr>
        <w:numId w:val="1"/>
      </w:numPr>
    </w:pPr>
  </w:style>
  <w:style w:type="paragraph" w:styleId="Caption">
    <w:name w:val="caption"/>
    <w:next w:val="BodyB"/>
    <w:pPr>
      <w:spacing w:after="200"/>
    </w:pPr>
    <w:rPr>
      <w:rFonts w:cs="Arial Unicode MS"/>
      <w:i/>
      <w:iCs/>
      <w:color w:val="5E5E5E"/>
      <w:sz w:val="18"/>
      <w:szCs w:val="18"/>
      <w:u w:color="5E5E5E"/>
      <w:lang w:val="en-US"/>
    </w:rPr>
  </w:style>
  <w:style w:type="character" w:customStyle="1" w:styleId="Hyperlink1">
    <w:name w:val="Hyperlink.1"/>
    <w:basedOn w:val="None"/>
    <w:rPr>
      <w:u w:val="single" w:color="FFFFFF"/>
    </w:rPr>
  </w:style>
  <w:style w:type="numbering" w:customStyle="1" w:styleId="ImportedStyle4">
    <w:name w:val="Imported Style 4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F37A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AB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37A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AB1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D2C64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631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ossref.org/services/funder-registry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rrespondingAuthor@email.addres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migrationinstitute.org/publications/managing-migrant-labour-in-the-gulf-transnational-dynamics-of-migration-politics-since-the-1930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ndfonline.com/doi/full/10.1080/13691830903494901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c4b6ed8d-598d-4fb3-8dec-4f219cd76e1d@uva.n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628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Ersanilli</dc:creator>
  <cp:lastModifiedBy>Evelyn Ersanilli</cp:lastModifiedBy>
  <cp:revision>3</cp:revision>
  <dcterms:created xsi:type="dcterms:W3CDTF">2021-02-15T16:05:00Z</dcterms:created>
  <dcterms:modified xsi:type="dcterms:W3CDTF">2021-02-15T16:42:00Z</dcterms:modified>
</cp:coreProperties>
</file>